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8E" w:rsidRPr="00BB564F" w:rsidRDefault="006B7B8E" w:rsidP="00BB564F">
      <w:pPr>
        <w:pStyle w:val="Nadpis2"/>
        <w:rPr>
          <w:color w:val="auto"/>
        </w:rPr>
      </w:pPr>
      <w:r w:rsidRPr="00BB564F">
        <w:rPr>
          <w:color w:val="auto"/>
        </w:rPr>
        <w:t>Úvod</w:t>
      </w:r>
    </w:p>
    <w:p w:rsidR="006B7B8E" w:rsidRPr="00BA5B54" w:rsidRDefault="006B7B8E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</w:p>
    <w:p w:rsidR="0098244C" w:rsidRPr="00BA5B54" w:rsidRDefault="0098244C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  <w:r w:rsidRPr="00BA5B54">
        <w:rPr>
          <w:rFonts w:ascii="Arial" w:hAnsi="Arial" w:cs="Arial"/>
          <w:iCs/>
          <w:sz w:val="22"/>
          <w:szCs w:val="22"/>
          <w:lang w:val="sk-SK"/>
        </w:rPr>
        <w:t>Katalóg vonkajších hrozieb vznikol ako pomôcka pre identifikovanie hrozieb pôsobiacich na podnik zvonku.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 xml:space="preserve"> </w:t>
      </w:r>
      <w:bookmarkStart w:id="0" w:name="_GoBack"/>
      <w:bookmarkEnd w:id="0"/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Odporúča</w:t>
      </w:r>
      <w:r w:rsidR="006B7B8E" w:rsidRPr="00BA5B54">
        <w:rPr>
          <w:rFonts w:ascii="Arial" w:hAnsi="Arial" w:cs="Arial"/>
          <w:iCs/>
          <w:sz w:val="22"/>
          <w:szCs w:val="22"/>
          <w:lang w:val="sk-SK"/>
        </w:rPr>
        <w:t xml:space="preserve"> sa ako samosta</w:t>
      </w:r>
      <w:r w:rsidR="00697953" w:rsidRPr="00BA5B54">
        <w:rPr>
          <w:rFonts w:ascii="Arial" w:hAnsi="Arial" w:cs="Arial"/>
          <w:iCs/>
          <w:sz w:val="22"/>
          <w:szCs w:val="22"/>
          <w:lang w:val="sk-SK"/>
        </w:rPr>
        <w:t>t</w:t>
      </w:r>
      <w:r w:rsidR="006B7B8E" w:rsidRPr="00BA5B54">
        <w:rPr>
          <w:rFonts w:ascii="Arial" w:hAnsi="Arial" w:cs="Arial"/>
          <w:iCs/>
          <w:sz w:val="22"/>
          <w:szCs w:val="22"/>
          <w:lang w:val="sk-SK"/>
        </w:rPr>
        <w:t>ná príloha, ktorá vytvára r</w:t>
      </w:r>
      <w:r w:rsidR="00697953" w:rsidRPr="00BA5B54">
        <w:rPr>
          <w:rFonts w:ascii="Arial" w:hAnsi="Arial" w:cs="Arial"/>
          <w:iCs/>
          <w:sz w:val="22"/>
          <w:szCs w:val="22"/>
          <w:lang w:val="sk-SK"/>
        </w:rPr>
        <w:t>ý</w:t>
      </w:r>
      <w:r w:rsidR="006B7B8E" w:rsidRPr="00BA5B54">
        <w:rPr>
          <w:rFonts w:ascii="Arial" w:hAnsi="Arial" w:cs="Arial"/>
          <w:iCs/>
          <w:sz w:val="22"/>
          <w:szCs w:val="22"/>
          <w:lang w:val="sk-SK"/>
        </w:rPr>
        <w:t>chly pohľad na potenciál hrozieb.</w:t>
      </w:r>
    </w:p>
    <w:p w:rsidR="0098244C" w:rsidRPr="00BA5B54" w:rsidRDefault="0098244C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</w:p>
    <w:p w:rsidR="00C94C08" w:rsidRPr="00BA5B54" w:rsidRDefault="00C94C08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  <w:r w:rsidRPr="00BA5B54">
        <w:rPr>
          <w:rFonts w:ascii="Arial" w:hAnsi="Arial" w:cs="Arial"/>
          <w:iCs/>
          <w:sz w:val="22"/>
          <w:szCs w:val="22"/>
          <w:lang w:val="sk-SK"/>
        </w:rPr>
        <w:t>Katalóg vonkajších hrozieb je vytvorený na základe prístupu používanom v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o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Švajčiarsku. Tento prístup sa využíva v projektoch civilnej ochrany pod názvom KATAPLAN. V porovnaní s osta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>t</w:t>
      </w:r>
      <w:r w:rsidRPr="00BA5B54">
        <w:rPr>
          <w:rFonts w:ascii="Arial" w:hAnsi="Arial" w:cs="Arial"/>
          <w:iCs/>
          <w:sz w:val="22"/>
          <w:szCs w:val="22"/>
          <w:lang w:val="sk-SK"/>
        </w:rPr>
        <w:t>nými klasifikáciami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,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napr. WHO, má usporiadané hrozby do skupín v zmysle pôsobenia hrozieb na objekt. T</w:t>
      </w:r>
      <w:r w:rsidR="0098244C" w:rsidRPr="00BA5B54">
        <w:rPr>
          <w:rFonts w:ascii="Arial" w:hAnsi="Arial" w:cs="Arial"/>
          <w:iCs/>
          <w:sz w:val="22"/>
          <w:szCs w:val="22"/>
          <w:lang w:val="sk-SK"/>
        </w:rPr>
        <w:t xml:space="preserve">úto klasifikáciu je možné </w:t>
      </w:r>
      <w:r w:rsidRPr="00BA5B54">
        <w:rPr>
          <w:rFonts w:ascii="Arial" w:hAnsi="Arial" w:cs="Arial"/>
          <w:iCs/>
          <w:sz w:val="22"/>
          <w:szCs w:val="22"/>
          <w:lang w:val="sk-SK"/>
        </w:rPr>
        <w:t>použ</w:t>
      </w:r>
      <w:r w:rsidR="0098244C" w:rsidRPr="00BA5B54">
        <w:rPr>
          <w:rFonts w:ascii="Arial" w:hAnsi="Arial" w:cs="Arial"/>
          <w:iCs/>
          <w:sz w:val="22"/>
          <w:szCs w:val="22"/>
          <w:lang w:val="sk-SK"/>
        </w:rPr>
        <w:t xml:space="preserve">iť </w:t>
      </w:r>
      <w:r w:rsidRPr="00BA5B54">
        <w:rPr>
          <w:rFonts w:ascii="Arial" w:hAnsi="Arial" w:cs="Arial"/>
          <w:iCs/>
          <w:sz w:val="22"/>
          <w:szCs w:val="22"/>
          <w:lang w:val="sk-SK"/>
        </w:rPr>
        <w:t>nielen v o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>b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lasti 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závažných </w:t>
      </w:r>
      <w:r w:rsidRPr="00BA5B54">
        <w:rPr>
          <w:rFonts w:ascii="Arial" w:hAnsi="Arial" w:cs="Arial"/>
          <w:iCs/>
          <w:sz w:val="22"/>
          <w:szCs w:val="22"/>
          <w:lang w:val="sk-SK"/>
        </w:rPr>
        <w:t>priemyselných havárií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 (ZPH)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. </w:t>
      </w:r>
    </w:p>
    <w:p w:rsidR="00C94C08" w:rsidRPr="00BA5B54" w:rsidRDefault="00C94C08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</w:p>
    <w:p w:rsidR="00C94C08" w:rsidRPr="00BA5B54" w:rsidRDefault="00C94C08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  <w:r w:rsidRPr="00BA5B54">
        <w:rPr>
          <w:rFonts w:ascii="Arial" w:hAnsi="Arial" w:cs="Arial"/>
          <w:iCs/>
          <w:sz w:val="22"/>
          <w:szCs w:val="22"/>
          <w:lang w:val="sk-SK"/>
        </w:rPr>
        <w:t>Hrozby, ktoré sú príznačné pre príslušný podnik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,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sa označia x alebo popisom áno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, ostatné - alebo nie. </w:t>
      </w:r>
      <w:r w:rsidRPr="00BA5B54">
        <w:rPr>
          <w:rFonts w:ascii="Arial" w:hAnsi="Arial" w:cs="Arial"/>
          <w:iCs/>
          <w:sz w:val="22"/>
          <w:szCs w:val="22"/>
          <w:lang w:val="sk-SK"/>
        </w:rPr>
        <w:t>Hrozby, ktoré sú bezpredmetné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,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sa označia 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>b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alebo popisom bezpredmetné.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 Použité označenie sa uvedie v poznámkach pod tabuľkou. </w:t>
      </w:r>
    </w:p>
    <w:p w:rsidR="0011720F" w:rsidRPr="00BA5B54" w:rsidRDefault="00C94C08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Ak sa </w:t>
      </w:r>
      <w:r w:rsidR="00B028A9" w:rsidRPr="00BA5B54">
        <w:rPr>
          <w:rFonts w:ascii="Arial" w:hAnsi="Arial" w:cs="Arial"/>
          <w:iCs/>
          <w:sz w:val="22"/>
          <w:szCs w:val="22"/>
          <w:lang w:val="sk-SK"/>
        </w:rPr>
        <w:t>požaduje</w:t>
      </w:r>
      <w:r w:rsidRPr="00BA5B54">
        <w:rPr>
          <w:rFonts w:ascii="Arial" w:hAnsi="Arial" w:cs="Arial"/>
          <w:iCs/>
          <w:sz w:val="22"/>
          <w:szCs w:val="22"/>
          <w:lang w:val="sk-SK"/>
        </w:rPr>
        <w:t xml:space="preserve"> kvantifikácia hrozieb, tak je potrebné zvoliť metriku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 pre príslušný účel. Oblasť ZPH v súčasnosti nepožaduje kvantifikáciu hrozieb. Ako pr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>íklad je uvedená metrika mimoriadne vážna strata (MVS), vážna strata (VS), jednoduchá strata (JS), n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epodstatná strata (NPS). Podniky, ktoré sú </w:t>
      </w:r>
      <w:r w:rsidR="00B028A9" w:rsidRPr="00BA5B54">
        <w:rPr>
          <w:rFonts w:ascii="Arial" w:hAnsi="Arial" w:cs="Arial"/>
          <w:iCs/>
          <w:sz w:val="22"/>
          <w:szCs w:val="22"/>
          <w:lang w:val="sk-SK"/>
        </w:rPr>
        <w:t>prvkom kritickej</w:t>
      </w:r>
      <w:r w:rsidR="00BA5B54" w:rsidRPr="00BA5B54">
        <w:rPr>
          <w:rFonts w:ascii="Arial" w:hAnsi="Arial" w:cs="Arial"/>
          <w:iCs/>
          <w:sz w:val="22"/>
          <w:szCs w:val="22"/>
          <w:lang w:val="sk-SK"/>
        </w:rPr>
        <w:t xml:space="preserve"> </w:t>
      </w:r>
      <w:r w:rsidR="00B028A9" w:rsidRPr="00BA5B54">
        <w:rPr>
          <w:rFonts w:ascii="Arial" w:hAnsi="Arial" w:cs="Arial"/>
          <w:iCs/>
          <w:sz w:val="22"/>
          <w:szCs w:val="22"/>
          <w:lang w:val="sk-SK"/>
        </w:rPr>
        <w:t>infraštruktúry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 (KI) majú jednotnú klasifikáciu pre tieto kategórie. Pre účel ZPH je postačujúce</w:t>
      </w:r>
      <w:r w:rsidR="00AC5CB5" w:rsidRPr="00BA5B54">
        <w:rPr>
          <w:rFonts w:ascii="Arial" w:hAnsi="Arial" w:cs="Arial"/>
          <w:iCs/>
          <w:sz w:val="22"/>
          <w:szCs w:val="22"/>
          <w:lang w:val="sk-SK"/>
        </w:rPr>
        <w:t>,</w:t>
      </w:r>
      <w:r w:rsidR="0011720F" w:rsidRPr="00BA5B54">
        <w:rPr>
          <w:rFonts w:ascii="Arial" w:hAnsi="Arial" w:cs="Arial"/>
          <w:iCs/>
          <w:sz w:val="22"/>
          <w:szCs w:val="22"/>
          <w:lang w:val="sk-SK"/>
        </w:rPr>
        <w:t xml:space="preserve"> ak sa vyznačí existencia hrozby a do stĺpca poznámky sa uvedie </w:t>
      </w:r>
      <w:r w:rsidR="00EB388D" w:rsidRPr="00BA5B54">
        <w:rPr>
          <w:rFonts w:ascii="Arial" w:hAnsi="Arial" w:cs="Arial"/>
          <w:iCs/>
          <w:sz w:val="22"/>
          <w:szCs w:val="22"/>
          <w:lang w:val="sk-SK"/>
        </w:rPr>
        <w:t>dôvod.</w:t>
      </w:r>
    </w:p>
    <w:p w:rsidR="0011720F" w:rsidRPr="00BA5B54" w:rsidRDefault="0011720F" w:rsidP="00BA5B54">
      <w:pPr>
        <w:pStyle w:val="Bezriadkovania1"/>
        <w:spacing w:line="276" w:lineRule="auto"/>
        <w:rPr>
          <w:rFonts w:ascii="Arial" w:hAnsi="Arial" w:cs="Arial"/>
          <w:iCs/>
          <w:sz w:val="22"/>
          <w:szCs w:val="22"/>
          <w:lang w:val="sk-SK"/>
        </w:rPr>
      </w:pPr>
    </w:p>
    <w:p w:rsidR="0011720F" w:rsidRPr="00BA5B54" w:rsidRDefault="0098244C" w:rsidP="00BA5B54">
      <w:pPr>
        <w:pStyle w:val="Bezriadkovania1"/>
        <w:spacing w:line="276" w:lineRule="auto"/>
        <w:rPr>
          <w:lang w:val="sk-SK"/>
        </w:rPr>
      </w:pPr>
      <w:r w:rsidRPr="00BA5B54">
        <w:rPr>
          <w:rFonts w:ascii="Arial" w:hAnsi="Arial" w:cs="Arial"/>
          <w:iCs/>
          <w:sz w:val="22"/>
          <w:szCs w:val="22"/>
          <w:lang w:val="sk-SK"/>
        </w:rPr>
        <w:t>V kapitole zhrnutie je možné uviesť podstatné hrozby, ktoré sú potenciálom ZPH.</w:t>
      </w:r>
    </w:p>
    <w:p w:rsidR="0011720F" w:rsidRPr="00BA5B54" w:rsidRDefault="0011720F" w:rsidP="00BA5B54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 w:bidi="en-US"/>
        </w:rPr>
      </w:pPr>
      <w:r w:rsidRPr="00BA5B54">
        <w:br w:type="page"/>
      </w:r>
    </w:p>
    <w:p w:rsidR="00121775" w:rsidRPr="00BA5B54" w:rsidRDefault="001D3EF3" w:rsidP="00BA5B54">
      <w:pPr>
        <w:pStyle w:val="Bezriadkovania"/>
        <w:rPr>
          <w:rFonts w:ascii="Arial" w:hAnsi="Arial" w:cs="Arial"/>
          <w:sz w:val="20"/>
          <w:szCs w:val="20"/>
        </w:rPr>
      </w:pPr>
      <w:r w:rsidRPr="00BA5B54">
        <w:rPr>
          <w:rFonts w:ascii="Arial" w:hAnsi="Arial" w:cs="Arial"/>
          <w:sz w:val="20"/>
          <w:szCs w:val="20"/>
        </w:rPr>
        <w:lastRenderedPageBreak/>
        <w:t>I</w:t>
      </w:r>
      <w:r w:rsidR="00121775" w:rsidRPr="00BA5B54">
        <w:rPr>
          <w:rFonts w:ascii="Arial" w:hAnsi="Arial" w:cs="Arial"/>
          <w:sz w:val="20"/>
          <w:szCs w:val="20"/>
        </w:rPr>
        <w:t xml:space="preserve">dentifikovanie hrozieb okolia na prevádzku </w:t>
      </w:r>
      <w:r w:rsidR="00B24561" w:rsidRPr="00BA5B54">
        <w:rPr>
          <w:rFonts w:ascii="Arial" w:hAnsi="Arial" w:cs="Arial"/>
          <w:sz w:val="20"/>
          <w:szCs w:val="20"/>
        </w:rPr>
        <w:t>........................</w:t>
      </w:r>
    </w:p>
    <w:tbl>
      <w:tblPr>
        <w:tblStyle w:val="Mriekatabuky"/>
        <w:tblpPr w:leftFromText="141" w:rightFromText="141" w:vertAnchor="text" w:tblpX="108" w:tblpY="1"/>
        <w:tblOverlap w:val="never"/>
        <w:tblW w:w="9039" w:type="dxa"/>
        <w:shd w:val="clear" w:color="auto" w:fill="FFFFFF" w:themeFill="background1"/>
        <w:tblLayout w:type="fixed"/>
        <w:tblLook w:val="04A0"/>
      </w:tblPr>
      <w:tblGrid>
        <w:gridCol w:w="3506"/>
        <w:gridCol w:w="626"/>
        <w:gridCol w:w="629"/>
        <w:gridCol w:w="631"/>
        <w:gridCol w:w="632"/>
        <w:gridCol w:w="3015"/>
      </w:tblGrid>
      <w:tr w:rsidR="003B3DEF" w:rsidRPr="00BA5B54" w:rsidTr="003E2682">
        <w:trPr>
          <w:trHeight w:val="134"/>
          <w:tblHeader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Hrozba</w:t>
            </w:r>
          </w:p>
        </w:tc>
        <w:tc>
          <w:tcPr>
            <w:tcW w:w="2518" w:type="dxa"/>
            <w:gridSpan w:val="4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Zraniteľnosť</w:t>
            </w:r>
          </w:p>
        </w:tc>
        <w:tc>
          <w:tcPr>
            <w:tcW w:w="301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Poznámka</w:t>
            </w:r>
          </w:p>
        </w:tc>
      </w:tr>
      <w:tr w:rsidR="003B3DEF" w:rsidRPr="00BA5B54" w:rsidTr="00CA0490">
        <w:trPr>
          <w:trHeight w:val="146"/>
          <w:tblHeader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MVS</w:t>
            </w: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VS</w:t>
            </w: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JS</w:t>
            </w:r>
          </w:p>
        </w:tc>
        <w:tc>
          <w:tcPr>
            <w:tcW w:w="632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NPS</w:t>
            </w:r>
          </w:p>
        </w:tc>
        <w:tc>
          <w:tcPr>
            <w:tcW w:w="301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</w:p>
        </w:tc>
      </w:tr>
      <w:tr w:rsidR="00121775" w:rsidRPr="00BA5B54" w:rsidTr="00EB506D">
        <w:trPr>
          <w:trHeight w:val="146"/>
        </w:trPr>
        <w:tc>
          <w:tcPr>
            <w:tcW w:w="9039" w:type="dxa"/>
            <w:gridSpan w:val="6"/>
            <w:shd w:val="clear" w:color="auto" w:fill="FFFFFF" w:themeFill="background1"/>
            <w:vAlign w:val="center"/>
          </w:tcPr>
          <w:p w:rsidR="00121775" w:rsidRPr="00BA5B54" w:rsidRDefault="00121775" w:rsidP="00BA5B54">
            <w:pPr>
              <w:pStyle w:val="Bezriadkovania1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sz w:val="18"/>
                <w:szCs w:val="18"/>
                <w:lang w:val="sk-SK"/>
              </w:rPr>
              <w:t>I Prírodné</w:t>
            </w:r>
          </w:p>
        </w:tc>
      </w:tr>
      <w:tr w:rsidR="003B3DEF" w:rsidRPr="00BA5B54" w:rsidTr="00EB27B9">
        <w:trPr>
          <w:trHeight w:val="10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 zemetrasenie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3B1435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1.2 búrky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7C78A9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1.3 zosuvy pôdy a skál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314F26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1.4 krupobitie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7F5B5C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1.5 horúčavy a suchá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2F24E5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1.6 záplavy, povodne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3B3DEF" w:rsidRPr="00BA5B54" w:rsidTr="00444AD0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1.7 seizmická činnosť</w:t>
            </w:r>
          </w:p>
        </w:tc>
        <w:tc>
          <w:tcPr>
            <w:tcW w:w="626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EF" w:rsidRPr="00BA5B54" w:rsidRDefault="003B3DEF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CB025E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1.8 sneh, snehové kalamity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E245D0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1.9 poľadovica, mrazy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27233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1.10 lavíny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7D552B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1.11 víchrice, veterné smršte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BA4BC4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1.12 požiar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5D20B6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1.13 extrémna zima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562682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1.14 zamorenie vody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FB1AF7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1.15 kontaminácia potravín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530D67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sz w:val="18"/>
                <w:szCs w:val="18"/>
                <w:lang w:val="sk-SK"/>
              </w:rPr>
              <w:t>1.16 zamorenie ovzdušia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EB506D">
        <w:trPr>
          <w:trHeight w:val="146"/>
        </w:trPr>
        <w:tc>
          <w:tcPr>
            <w:tcW w:w="9039" w:type="dxa"/>
            <w:gridSpan w:val="6"/>
            <w:shd w:val="clear" w:color="auto" w:fill="FFFFFF" w:themeFill="background1"/>
            <w:vAlign w:val="center"/>
          </w:tcPr>
          <w:p w:rsidR="00BD69E2" w:rsidRPr="00BA5B54" w:rsidRDefault="00BA5B54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 xml:space="preserve">II  Antropogénne – </w:t>
            </w:r>
            <w:r w:rsidR="00BD69E2" w:rsidRPr="00BA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technologické a technické</w:t>
            </w:r>
          </w:p>
        </w:tc>
      </w:tr>
      <w:tr w:rsidR="00BD69E2" w:rsidRPr="00BA5B54" w:rsidTr="00D03BCB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 havárie v leteckej doprave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32C75">
        <w:trPr>
          <w:trHeight w:val="252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2.2 zlyhanie dodávky elektrickej energie, plynu, tepelnej energie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D4AB6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2.3 narušenie dodávok pitnej vody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7656FD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2.4 narušenie telekomunikačných sietí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CA2722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2.5 narušenie informačných sietí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A43D0A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2.6 zrútenie veľkých budov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C0528A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2.7 výbuch v chemických prevádzkach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C06210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2.8 výbuch pri skladovaní obilnín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408F9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2.9 haváriami jadrových zariadení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80B14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2.10 požiar skladov na ropné produkty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D8311D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2.11 požiar v drevospracujúcom priemysle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F798B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2.12 požiar v hospodárskych objektoch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2C029B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2.13 únik RAO 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BA6C30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2.14 narušenie vodohospodárskych diel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6771C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2.15 únik nebezpečnej látky zo stacionárneho zdroja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770A74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2.16 únik NL z mobilného zdroja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2A1319">
        <w:trPr>
          <w:trHeight w:val="72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2.17 únik ropných produktov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6B6940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2.18 havária v železničnej doprave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8020FF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2.19 havária v cestnej doprave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B3DEF">
        <w:trPr>
          <w:trHeight w:val="48"/>
        </w:trPr>
        <w:tc>
          <w:tcPr>
            <w:tcW w:w="3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2.20 havária v lodnej doprave</w:t>
            </w:r>
          </w:p>
        </w:tc>
        <w:tc>
          <w:tcPr>
            <w:tcW w:w="6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B3DEF">
        <w:trPr>
          <w:trHeight w:val="146"/>
        </w:trPr>
        <w:tc>
          <w:tcPr>
            <w:tcW w:w="3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2.21 narušenie produktovodov</w:t>
            </w:r>
          </w:p>
        </w:tc>
        <w:tc>
          <w:tcPr>
            <w:tcW w:w="6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EB506D">
        <w:trPr>
          <w:trHeight w:val="146"/>
        </w:trPr>
        <w:tc>
          <w:tcPr>
            <w:tcW w:w="9039" w:type="dxa"/>
            <w:gridSpan w:val="6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III Biologické a sociálne</w:t>
            </w:r>
          </w:p>
        </w:tc>
      </w:tr>
      <w:tr w:rsidR="00BD69E2" w:rsidRPr="00BA5B54" w:rsidTr="00AF76B5">
        <w:trPr>
          <w:trHeight w:val="157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3.1 epidémia (nákaza osôb)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BD4812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3.2 epizoótia (nákaza zvierat)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6F5042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3.3 epifýza (nákaza poľných kultúr)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8C2A55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3.4 nedodanie liekov a zdravotníckeho materiálu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FF0000"/>
                <w:sz w:val="18"/>
                <w:szCs w:val="18"/>
                <w:lang w:val="sk-SK"/>
              </w:rPr>
            </w:pPr>
          </w:p>
        </w:tc>
      </w:tr>
      <w:tr w:rsidR="00BD69E2" w:rsidRPr="00BA5B54" w:rsidTr="004E3E31">
        <w:trPr>
          <w:trHeight w:val="146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3.5 zamorenie hmyzom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07EC8">
        <w:trPr>
          <w:trHeight w:val="178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3.6 azylový tlak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7F0C72">
        <w:trPr>
          <w:trHeight w:val="110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3.7 utečenecká vlna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FD4275">
        <w:trPr>
          <w:trHeight w:val="48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3.8 sociálny nepokoj veľkého rozsahu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486471">
        <w:trPr>
          <w:trHeight w:val="239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3.9 násilné protiprávne konanie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9954A5">
        <w:trPr>
          <w:trHeight w:val="239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3.10 etnické, náboženské a ideologické konflikty veľkého rozsahu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536488">
        <w:trPr>
          <w:trHeight w:val="217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3.11 organizovaný zločin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8B0F29">
        <w:trPr>
          <w:trHeight w:val="239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3.12 extrémizmus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6213CB">
        <w:trPr>
          <w:trHeight w:val="239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lastRenderedPageBreak/>
              <w:t>3.13 útok proti orgánom verejnej moci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235FD">
        <w:trPr>
          <w:trHeight w:val="413"/>
        </w:trPr>
        <w:tc>
          <w:tcPr>
            <w:tcW w:w="3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43DE" w:rsidRPr="00BA5B54" w:rsidRDefault="00BD69E2" w:rsidP="00BA5B54">
            <w:pPr>
              <w:pStyle w:val="Bezriadkovania1"/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3.14 útok proti objektom osobitnej dôležitosti a ďalším dôležitým objektom</w:t>
            </w:r>
          </w:p>
        </w:tc>
        <w:tc>
          <w:tcPr>
            <w:tcW w:w="6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FF0000"/>
                <w:sz w:val="18"/>
                <w:szCs w:val="18"/>
                <w:lang w:val="sk-SK"/>
              </w:rPr>
            </w:pPr>
          </w:p>
        </w:tc>
      </w:tr>
      <w:tr w:rsidR="00BD69E2" w:rsidRPr="00BA5B54" w:rsidTr="00EB506D">
        <w:trPr>
          <w:trHeight w:val="37"/>
        </w:trPr>
        <w:tc>
          <w:tcPr>
            <w:tcW w:w="9039" w:type="dxa"/>
            <w:gridSpan w:val="6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IV Ozbrojené konflikty</w:t>
            </w:r>
          </w:p>
        </w:tc>
      </w:tr>
      <w:tr w:rsidR="00BD69E2" w:rsidRPr="00BA5B54" w:rsidTr="00A35CBF">
        <w:trPr>
          <w:trHeight w:val="107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4.1 vojnový konflikt v krajinách EÚ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3A61F9">
        <w:trPr>
          <w:trHeight w:val="174"/>
        </w:trPr>
        <w:tc>
          <w:tcPr>
            <w:tcW w:w="3506" w:type="dxa"/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4.2 vojnový konflikt na území štátu</w:t>
            </w:r>
          </w:p>
        </w:tc>
        <w:tc>
          <w:tcPr>
            <w:tcW w:w="626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  <w:tr w:rsidR="00BD69E2" w:rsidRPr="00BA5B54" w:rsidTr="00991F6A">
        <w:trPr>
          <w:trHeight w:val="105"/>
        </w:trPr>
        <w:tc>
          <w:tcPr>
            <w:tcW w:w="3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BA5B54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4.3 vojnový konflikt mimo EÚ</w:t>
            </w:r>
          </w:p>
        </w:tc>
        <w:tc>
          <w:tcPr>
            <w:tcW w:w="6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63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9E2" w:rsidRPr="00BA5B54" w:rsidRDefault="00BD69E2" w:rsidP="00BA5B54">
            <w:pPr>
              <w:pStyle w:val="Bezriadkovania1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</w:tr>
    </w:tbl>
    <w:p w:rsidR="00121775" w:rsidRPr="00BA5B54" w:rsidRDefault="00121775" w:rsidP="00BA5B54">
      <w:pPr>
        <w:pStyle w:val="Bezriadkovania"/>
        <w:rPr>
          <w:rFonts w:ascii="Arial" w:hAnsi="Arial" w:cs="Arial"/>
          <w:sz w:val="16"/>
          <w:szCs w:val="16"/>
        </w:rPr>
      </w:pPr>
      <w:r w:rsidRPr="00BA5B54">
        <w:rPr>
          <w:rFonts w:ascii="Arial" w:hAnsi="Arial" w:cs="Arial"/>
          <w:sz w:val="16"/>
          <w:szCs w:val="16"/>
        </w:rPr>
        <w:t xml:space="preserve">       x     označenie hrozby a príslušnej kategórie,</w:t>
      </w:r>
      <w:r w:rsidR="00BA5B54">
        <w:rPr>
          <w:rFonts w:ascii="Arial" w:hAnsi="Arial" w:cs="Arial"/>
          <w:sz w:val="16"/>
          <w:szCs w:val="16"/>
        </w:rPr>
        <w:t xml:space="preserve"> </w:t>
      </w:r>
      <w:r w:rsidRPr="00BA5B54">
        <w:rPr>
          <w:rFonts w:ascii="Arial" w:hAnsi="Arial" w:cs="Arial"/>
          <w:sz w:val="16"/>
          <w:szCs w:val="16"/>
        </w:rPr>
        <w:t>bezpredmetné v príslušnom území</w:t>
      </w:r>
    </w:p>
    <w:p w:rsidR="00121775" w:rsidRPr="00BA5B54" w:rsidRDefault="00121775" w:rsidP="00BA5B54">
      <w:pPr>
        <w:pStyle w:val="Bezriadkovania"/>
        <w:rPr>
          <w:rFonts w:ascii="Arial" w:hAnsi="Arial" w:cs="Arial"/>
        </w:rPr>
      </w:pPr>
    </w:p>
    <w:p w:rsidR="00121775" w:rsidRPr="00BA5B54" w:rsidRDefault="00121775" w:rsidP="00BA5B54">
      <w:pPr>
        <w:pStyle w:val="Bezriadkovania"/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Kritériá pre zaradenie do jednotlivých kategórií sú v</w:t>
      </w:r>
      <w:r w:rsidR="001D3EF3" w:rsidRPr="00BA5B54">
        <w:rPr>
          <w:rFonts w:ascii="Arial" w:hAnsi="Arial" w:cs="Arial"/>
          <w:iCs/>
        </w:rPr>
        <w:t> nasledovnej tabuľke</w:t>
      </w:r>
      <w:r w:rsidRPr="00BA5B54">
        <w:rPr>
          <w:rFonts w:ascii="Arial" w:hAnsi="Arial" w:cs="Arial"/>
          <w:iCs/>
        </w:rPr>
        <w:t>.</w:t>
      </w:r>
    </w:p>
    <w:p w:rsidR="001D3EF3" w:rsidRPr="00BA5B54" w:rsidRDefault="001D3EF3" w:rsidP="00BA5B54">
      <w:pPr>
        <w:pStyle w:val="Bezriadkovania"/>
        <w:rPr>
          <w:rFonts w:ascii="Arial" w:hAnsi="Arial" w:cs="Arial"/>
          <w:iCs/>
        </w:rPr>
      </w:pPr>
    </w:p>
    <w:p w:rsidR="00121775" w:rsidRPr="00BA5B54" w:rsidRDefault="00C043DE" w:rsidP="00BA5B54">
      <w:pPr>
        <w:pStyle w:val="Bezriadkovania"/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Kategórie zraniteľnosti</w:t>
      </w:r>
      <w:r w:rsidR="003B3DEF" w:rsidRPr="00BA5B54">
        <w:rPr>
          <w:rFonts w:ascii="Arial" w:hAnsi="Arial" w:cs="Arial"/>
          <w:iCs/>
        </w:rPr>
        <w:t>:</w:t>
      </w:r>
    </w:p>
    <w:p w:rsidR="003B3DEF" w:rsidRPr="00BA5B54" w:rsidRDefault="003B3DEF" w:rsidP="00BA5B54">
      <w:pPr>
        <w:pStyle w:val="Bezriadkovania"/>
        <w:rPr>
          <w:rFonts w:ascii="Arial" w:hAnsi="Arial" w:cs="Arial"/>
          <w:iCs/>
        </w:rPr>
      </w:pPr>
    </w:p>
    <w:p w:rsidR="003B3DEF" w:rsidRPr="00BA5B54" w:rsidRDefault="00BA5B54" w:rsidP="00BA5B54">
      <w:pPr>
        <w:pStyle w:val="Bezriadkovania"/>
        <w:numPr>
          <w:ilvl w:val="0"/>
          <w:numId w:val="3"/>
        </w:numPr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m</w:t>
      </w:r>
      <w:r w:rsidR="003B3DEF" w:rsidRPr="00BA5B54">
        <w:rPr>
          <w:rFonts w:ascii="Arial" w:hAnsi="Arial" w:cs="Arial"/>
          <w:iCs/>
        </w:rPr>
        <w:t>imoriadne vážna strata (MVS),</w:t>
      </w:r>
    </w:p>
    <w:p w:rsidR="003B3DEF" w:rsidRPr="00BA5B54" w:rsidRDefault="00BA5B54" w:rsidP="00BA5B54">
      <w:pPr>
        <w:pStyle w:val="Bezriadkovania"/>
        <w:numPr>
          <w:ilvl w:val="0"/>
          <w:numId w:val="3"/>
        </w:numPr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v</w:t>
      </w:r>
      <w:r w:rsidR="003B3DEF" w:rsidRPr="00BA5B54">
        <w:rPr>
          <w:rFonts w:ascii="Arial" w:hAnsi="Arial" w:cs="Arial"/>
          <w:iCs/>
        </w:rPr>
        <w:t>ážna strata (VS),</w:t>
      </w:r>
    </w:p>
    <w:p w:rsidR="003B3DEF" w:rsidRPr="00BA5B54" w:rsidRDefault="00BA5B54" w:rsidP="00BA5B54">
      <w:pPr>
        <w:pStyle w:val="Bezriadkovania"/>
        <w:numPr>
          <w:ilvl w:val="0"/>
          <w:numId w:val="3"/>
        </w:numPr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j</w:t>
      </w:r>
      <w:r w:rsidR="003B3DEF" w:rsidRPr="00BA5B54">
        <w:rPr>
          <w:rFonts w:ascii="Arial" w:hAnsi="Arial" w:cs="Arial"/>
          <w:iCs/>
        </w:rPr>
        <w:t>ednoduchá strata (JS),</w:t>
      </w:r>
    </w:p>
    <w:p w:rsidR="003B3DEF" w:rsidRPr="00BA5B54" w:rsidRDefault="00BA5B54" w:rsidP="00BA5B54">
      <w:pPr>
        <w:pStyle w:val="Bezriadkovania"/>
        <w:numPr>
          <w:ilvl w:val="0"/>
          <w:numId w:val="3"/>
        </w:numPr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n</w:t>
      </w:r>
      <w:r w:rsidR="003B3DEF" w:rsidRPr="00BA5B54">
        <w:rPr>
          <w:rFonts w:ascii="Arial" w:hAnsi="Arial" w:cs="Arial"/>
          <w:iCs/>
        </w:rPr>
        <w:t>epodstatná strata (NPS)</w:t>
      </w:r>
      <w:r w:rsidR="00C043DE" w:rsidRPr="00BA5B54">
        <w:rPr>
          <w:rFonts w:ascii="Arial" w:hAnsi="Arial" w:cs="Arial"/>
          <w:iCs/>
        </w:rPr>
        <w:t>.</w:t>
      </w:r>
    </w:p>
    <w:p w:rsidR="00121775" w:rsidRPr="00BA5B54" w:rsidRDefault="00121775" w:rsidP="00BA5B54">
      <w:pPr>
        <w:pStyle w:val="Bezriadkovania"/>
        <w:rPr>
          <w:rFonts w:ascii="Arial" w:hAnsi="Arial" w:cs="Arial"/>
          <w:iCs/>
        </w:rPr>
      </w:pPr>
    </w:p>
    <w:p w:rsidR="00F801F7" w:rsidRPr="00BB564F" w:rsidRDefault="00B028A9" w:rsidP="00BB564F">
      <w:pPr>
        <w:pStyle w:val="Nadpis2"/>
        <w:rPr>
          <w:color w:val="auto"/>
        </w:rPr>
      </w:pPr>
      <w:r w:rsidRPr="00BB564F">
        <w:rPr>
          <w:color w:val="auto"/>
        </w:rPr>
        <w:t>Zhrnutie</w:t>
      </w:r>
    </w:p>
    <w:p w:rsidR="00B24561" w:rsidRPr="00BA5B54" w:rsidRDefault="00B24561" w:rsidP="00BA5B54">
      <w:pPr>
        <w:pStyle w:val="Bezriadkovania"/>
        <w:rPr>
          <w:rFonts w:ascii="Arial" w:hAnsi="Arial" w:cs="Arial"/>
          <w:iCs/>
        </w:rPr>
      </w:pPr>
      <w:r w:rsidRPr="00BA5B54">
        <w:rPr>
          <w:rFonts w:ascii="Arial" w:hAnsi="Arial" w:cs="Arial"/>
          <w:iCs/>
        </w:rPr>
        <w:t>Uvedú sa výrazné hrozby, ktoré boli identifikované a môžu vplývať na prevádzku podniku.</w:t>
      </w:r>
    </w:p>
    <w:sectPr w:rsidR="00B24561" w:rsidRPr="00BA5B54" w:rsidSect="00F801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6C" w:rsidRDefault="008A376C" w:rsidP="00AF6917">
      <w:pPr>
        <w:spacing w:after="0"/>
      </w:pPr>
      <w:r>
        <w:separator/>
      </w:r>
    </w:p>
  </w:endnote>
  <w:endnote w:type="continuationSeparator" w:id="1">
    <w:p w:rsidR="008A376C" w:rsidRDefault="008A376C" w:rsidP="00AF6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iCs/>
        <w:sz w:val="16"/>
        <w:szCs w:val="16"/>
      </w:rPr>
      <w:id w:val="44743954"/>
      <w:docPartObj>
        <w:docPartGallery w:val="Page Numbers (Bottom of Page)"/>
        <w:docPartUnique/>
      </w:docPartObj>
    </w:sdtPr>
    <w:sdtContent>
      <w:p w:rsidR="00EB506D" w:rsidRPr="006E7D18" w:rsidRDefault="004321C4" w:rsidP="006E7D18">
        <w:pPr>
          <w:pStyle w:val="Pta"/>
          <w:jc w:val="center"/>
          <w:rPr>
            <w:rFonts w:ascii="Arial" w:hAnsi="Arial" w:cs="Arial"/>
            <w:i/>
            <w:iCs/>
            <w:sz w:val="16"/>
            <w:szCs w:val="16"/>
          </w:rPr>
        </w:pPr>
        <w:r>
          <w:rPr>
            <w:rFonts w:ascii="Arial" w:hAnsi="Arial" w:cs="Arial"/>
            <w:i/>
            <w:iCs/>
            <w:sz w:val="16"/>
            <w:szCs w:val="16"/>
          </w:rPr>
          <w:t xml:space="preserve">Pre </w:t>
        </w:r>
        <w:r w:rsidR="006E7D18" w:rsidRPr="006E7D18">
          <w:rPr>
            <w:rFonts w:ascii="Arial" w:hAnsi="Arial" w:cs="Arial"/>
            <w:i/>
            <w:iCs/>
            <w:sz w:val="16"/>
            <w:szCs w:val="16"/>
          </w:rPr>
          <w:t xml:space="preserve">účel 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identifikácie vonkajších hrozieb pre </w:t>
        </w:r>
        <w:r w:rsidR="006E7D18" w:rsidRPr="006E7D18">
          <w:rPr>
            <w:rFonts w:ascii="Arial" w:hAnsi="Arial" w:cs="Arial"/>
            <w:i/>
            <w:iCs/>
            <w:sz w:val="16"/>
            <w:szCs w:val="16"/>
          </w:rPr>
          <w:t>ZPH</w:t>
        </w:r>
        <w:r w:rsidR="00BB564F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zostrojili </w:t>
        </w:r>
        <w:r w:rsidR="006E7D18" w:rsidRPr="006E7D18">
          <w:rPr>
            <w:rFonts w:ascii="Arial" w:hAnsi="Arial" w:cs="Arial"/>
            <w:i/>
            <w:iCs/>
            <w:sz w:val="16"/>
            <w:szCs w:val="16"/>
          </w:rPr>
          <w:t>Oravec, M., Čáky, L.</w:t>
        </w:r>
        <w:r w:rsidR="00D6023E">
          <w:rPr>
            <w:rFonts w:ascii="Arial" w:hAnsi="Arial" w:cs="Arial"/>
            <w:i/>
            <w:iCs/>
            <w:sz w:val="16"/>
            <w:szCs w:val="16"/>
          </w:rPr>
          <w:t xml:space="preserve">         </w:t>
        </w:r>
        <w:r w:rsidR="00BB564F">
          <w:rPr>
            <w:rFonts w:ascii="Arial" w:hAnsi="Arial" w:cs="Arial"/>
            <w:i/>
            <w:iCs/>
            <w:sz w:val="16"/>
            <w:szCs w:val="16"/>
          </w:rPr>
          <w:t xml:space="preserve">          SAŽ</w:t>
        </w:r>
        <w:r w:rsidR="00D6023E">
          <w:rPr>
            <w:rFonts w:ascii="Arial" w:hAnsi="Arial" w:cs="Arial"/>
            <w:i/>
            <w:iCs/>
            <w:sz w:val="16"/>
            <w:szCs w:val="16"/>
          </w:rPr>
          <w:t>P 2021</w:t>
        </w:r>
      </w:p>
    </w:sdtContent>
  </w:sdt>
  <w:p w:rsidR="00EB506D" w:rsidRPr="006E7D18" w:rsidRDefault="00EB506D">
    <w:pPr>
      <w:pStyle w:val="Pta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6C" w:rsidRDefault="008A376C" w:rsidP="00AF6917">
      <w:pPr>
        <w:spacing w:after="0"/>
      </w:pPr>
      <w:r>
        <w:separator/>
      </w:r>
    </w:p>
  </w:footnote>
  <w:footnote w:type="continuationSeparator" w:id="1">
    <w:p w:rsidR="008A376C" w:rsidRDefault="008A376C" w:rsidP="00AF69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17" w:rsidRPr="00BB564F" w:rsidRDefault="00AF6917" w:rsidP="00BB564F">
    <w:pPr>
      <w:pStyle w:val="Nadpis1"/>
      <w:jc w:val="center"/>
      <w:rPr>
        <w:color w:val="auto"/>
      </w:rPr>
    </w:pPr>
    <w:r w:rsidRPr="00BB564F">
      <w:rPr>
        <w:color w:val="auto"/>
      </w:rPr>
      <w:t>Príloha</w:t>
    </w:r>
    <w:r w:rsidR="00BB564F">
      <w:rPr>
        <w:color w:val="auto"/>
      </w:rPr>
      <w:t xml:space="preserve"> ......</w:t>
    </w:r>
    <w:r w:rsidR="00BB564F">
      <w:rPr>
        <w:color w:val="auto"/>
      </w:rPr>
      <w:br/>
    </w:r>
    <w:r w:rsidRPr="00BB564F">
      <w:rPr>
        <w:color w:val="auto"/>
      </w:rPr>
      <w:t>Vplyv okolia na prevádzku</w:t>
    </w:r>
    <w:r w:rsidR="00BB564F">
      <w:rPr>
        <w:color w:val="auto"/>
      </w:rPr>
      <w:t xml:space="preserve"> ....................</w:t>
    </w:r>
    <w:r w:rsidRPr="00BB564F">
      <w:rPr>
        <w:color w:val="auto"/>
      </w:rPr>
      <w:t xml:space="preserve"> </w:t>
    </w:r>
  </w:p>
  <w:p w:rsidR="00BB564F" w:rsidRPr="00BB564F" w:rsidRDefault="00BB564F" w:rsidP="00BB56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B81"/>
    <w:multiLevelType w:val="hybridMultilevel"/>
    <w:tmpl w:val="D4CAE610"/>
    <w:lvl w:ilvl="0" w:tplc="0EF8BE5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4EE0"/>
    <w:multiLevelType w:val="hybridMultilevel"/>
    <w:tmpl w:val="3EE42540"/>
    <w:lvl w:ilvl="0" w:tplc="0EF8BE5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C679D"/>
    <w:multiLevelType w:val="hybridMultilevel"/>
    <w:tmpl w:val="0256176A"/>
    <w:lvl w:ilvl="0" w:tplc="041B0001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1775"/>
    <w:rsid w:val="0002136F"/>
    <w:rsid w:val="00056F10"/>
    <w:rsid w:val="000F1A51"/>
    <w:rsid w:val="0011720F"/>
    <w:rsid w:val="00121775"/>
    <w:rsid w:val="001453B1"/>
    <w:rsid w:val="00191829"/>
    <w:rsid w:val="001C2A37"/>
    <w:rsid w:val="001C56DF"/>
    <w:rsid w:val="001D3EF3"/>
    <w:rsid w:val="001F2AAE"/>
    <w:rsid w:val="001F6F37"/>
    <w:rsid w:val="00253E39"/>
    <w:rsid w:val="0026517B"/>
    <w:rsid w:val="003647CB"/>
    <w:rsid w:val="003B35FD"/>
    <w:rsid w:val="003B3DEF"/>
    <w:rsid w:val="004254D4"/>
    <w:rsid w:val="004321C4"/>
    <w:rsid w:val="004672A4"/>
    <w:rsid w:val="004E24D2"/>
    <w:rsid w:val="004E6E52"/>
    <w:rsid w:val="004F11C3"/>
    <w:rsid w:val="005036B8"/>
    <w:rsid w:val="0052351E"/>
    <w:rsid w:val="005345D8"/>
    <w:rsid w:val="005D1AC8"/>
    <w:rsid w:val="005D2D83"/>
    <w:rsid w:val="00650618"/>
    <w:rsid w:val="00675D6D"/>
    <w:rsid w:val="00697953"/>
    <w:rsid w:val="006A07CD"/>
    <w:rsid w:val="006B7B8E"/>
    <w:rsid w:val="006C2248"/>
    <w:rsid w:val="006C4CA7"/>
    <w:rsid w:val="006D3A78"/>
    <w:rsid w:val="006E7D18"/>
    <w:rsid w:val="006F7B42"/>
    <w:rsid w:val="007157A7"/>
    <w:rsid w:val="00765AEF"/>
    <w:rsid w:val="007717E2"/>
    <w:rsid w:val="007E0251"/>
    <w:rsid w:val="0084552A"/>
    <w:rsid w:val="00864143"/>
    <w:rsid w:val="00895818"/>
    <w:rsid w:val="008A376C"/>
    <w:rsid w:val="008E457B"/>
    <w:rsid w:val="0096484C"/>
    <w:rsid w:val="00966DCE"/>
    <w:rsid w:val="0098244C"/>
    <w:rsid w:val="00984B61"/>
    <w:rsid w:val="00997CC0"/>
    <w:rsid w:val="00A27FAE"/>
    <w:rsid w:val="00A56E9A"/>
    <w:rsid w:val="00A715C6"/>
    <w:rsid w:val="00A86F49"/>
    <w:rsid w:val="00AC5CB5"/>
    <w:rsid w:val="00AD400B"/>
    <w:rsid w:val="00AF6917"/>
    <w:rsid w:val="00B028A9"/>
    <w:rsid w:val="00B24561"/>
    <w:rsid w:val="00BA4BC6"/>
    <w:rsid w:val="00BA5B54"/>
    <w:rsid w:val="00BB564F"/>
    <w:rsid w:val="00BD69E2"/>
    <w:rsid w:val="00C043DE"/>
    <w:rsid w:val="00C22EB1"/>
    <w:rsid w:val="00C322EF"/>
    <w:rsid w:val="00C3243F"/>
    <w:rsid w:val="00C53883"/>
    <w:rsid w:val="00C55896"/>
    <w:rsid w:val="00C64CE6"/>
    <w:rsid w:val="00C94C08"/>
    <w:rsid w:val="00CB1DFA"/>
    <w:rsid w:val="00CD20FC"/>
    <w:rsid w:val="00D13E29"/>
    <w:rsid w:val="00D56E94"/>
    <w:rsid w:val="00D6023E"/>
    <w:rsid w:val="00D63CB7"/>
    <w:rsid w:val="00D70950"/>
    <w:rsid w:val="00DF1DF2"/>
    <w:rsid w:val="00E16BA8"/>
    <w:rsid w:val="00E23CA7"/>
    <w:rsid w:val="00E32B2F"/>
    <w:rsid w:val="00E44B9E"/>
    <w:rsid w:val="00E844FA"/>
    <w:rsid w:val="00EA30ED"/>
    <w:rsid w:val="00EB388D"/>
    <w:rsid w:val="00EB506D"/>
    <w:rsid w:val="00EB5EC6"/>
    <w:rsid w:val="00F041D6"/>
    <w:rsid w:val="00F60D01"/>
    <w:rsid w:val="00F64B3E"/>
    <w:rsid w:val="00F801F7"/>
    <w:rsid w:val="00FB13E7"/>
    <w:rsid w:val="00FE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75"/>
    <w:pPr>
      <w:spacing w:after="160" w:line="240" w:lineRule="auto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BB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121775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1775"/>
    <w:rPr>
      <w:rFonts w:eastAsiaTheme="minorEastAsia"/>
      <w:lang w:eastAsia="sk-SK"/>
    </w:rPr>
  </w:style>
  <w:style w:type="paragraph" w:customStyle="1" w:styleId="Bezriadkovania1">
    <w:name w:val="Bez riadkovania1"/>
    <w:uiPriority w:val="1"/>
    <w:qFormat/>
    <w:rsid w:val="0012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 w:bidi="en-US"/>
    </w:rPr>
  </w:style>
  <w:style w:type="paragraph" w:styleId="Hlavika">
    <w:name w:val="header"/>
    <w:basedOn w:val="Normlny"/>
    <w:link w:val="HlavikaChar"/>
    <w:uiPriority w:val="99"/>
    <w:unhideWhenUsed/>
    <w:rsid w:val="00AF691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F6917"/>
  </w:style>
  <w:style w:type="paragraph" w:styleId="Pta">
    <w:name w:val="footer"/>
    <w:basedOn w:val="Normlny"/>
    <w:link w:val="PtaChar"/>
    <w:uiPriority w:val="99"/>
    <w:unhideWhenUsed/>
    <w:rsid w:val="00AF691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F6917"/>
  </w:style>
  <w:style w:type="paragraph" w:styleId="Textbubliny">
    <w:name w:val="Balloon Text"/>
    <w:basedOn w:val="Normlny"/>
    <w:link w:val="TextbublinyChar"/>
    <w:uiPriority w:val="99"/>
    <w:semiHidden/>
    <w:unhideWhenUsed/>
    <w:rsid w:val="00AF69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91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D1A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1A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1A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1A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1AC8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BB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B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albbert</cp:lastModifiedBy>
  <cp:revision>3</cp:revision>
  <dcterms:created xsi:type="dcterms:W3CDTF">2021-03-11T13:25:00Z</dcterms:created>
  <dcterms:modified xsi:type="dcterms:W3CDTF">2021-03-12T08:25:00Z</dcterms:modified>
</cp:coreProperties>
</file>